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szCs w:val="44"/>
        </w:rPr>
      </w:pPr>
    </w:p>
    <w:p>
      <w:pPr>
        <w:spacing w:line="580" w:lineRule="exact"/>
        <w:rPr>
          <w:rFonts w:ascii="方正小标宋简体" w:eastAsia="方正小标宋简体"/>
          <w:sz w:val="36"/>
          <w:szCs w:val="36"/>
        </w:rPr>
      </w:pPr>
      <w:bookmarkStart w:id="0" w:name="_GoBack"/>
      <w:bookmarkEnd w:id="0"/>
      <w:r>
        <w:rPr>
          <w:rFonts w:hint="eastAsia" w:ascii="仿宋_GB2312" w:eastAsia="仿宋_GB2312"/>
          <w:sz w:val="32"/>
          <w:szCs w:val="32"/>
        </w:rPr>
        <w:t>附件：</w:t>
      </w:r>
    </w:p>
    <w:p>
      <w:pPr>
        <w:spacing w:line="580" w:lineRule="exact"/>
        <w:jc w:val="center"/>
        <w:rPr>
          <w:rFonts w:hint="eastAsia" w:ascii="方正小标宋简体" w:eastAsia="方正小标宋简体"/>
          <w:sz w:val="36"/>
          <w:szCs w:val="36"/>
        </w:rPr>
      </w:pPr>
      <w:r>
        <w:rPr>
          <w:rFonts w:hint="eastAsia" w:ascii="方正小标宋简体" w:eastAsia="方正小标宋简体"/>
          <w:sz w:val="36"/>
          <w:szCs w:val="36"/>
        </w:rPr>
        <w:t>山东省学校后勤协会2021年立项课题名单</w:t>
      </w:r>
    </w:p>
    <w:p>
      <w:pPr>
        <w:spacing w:line="580" w:lineRule="exact"/>
        <w:jc w:val="center"/>
        <w:rPr>
          <w:rFonts w:ascii="仿宋_GB2312" w:eastAsia="仿宋_GB2312"/>
          <w:sz w:val="36"/>
          <w:szCs w:val="36"/>
        </w:rPr>
      </w:pPr>
    </w:p>
    <w:tbl>
      <w:tblPr>
        <w:tblStyle w:val="5"/>
        <w:tblW w:w="5236"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667"/>
        <w:gridCol w:w="6267"/>
        <w:gridCol w:w="1421"/>
        <w:gridCol w:w="269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trPr>
        <w:tc>
          <w:tcPr>
            <w:tcW w:w="302" w:type="pct"/>
            <w:shd w:val="clear" w:color="000000" w:fill="FFFFFF"/>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588" w:type="pct"/>
            <w:shd w:val="clear" w:color="000000" w:fill="FFFFFF"/>
            <w:vAlign w:val="center"/>
          </w:tcPr>
          <w:p>
            <w:pPr>
              <w:widowControl/>
              <w:jc w:val="center"/>
              <w:rPr>
                <w:rFonts w:ascii="黑体" w:hAnsi="黑体" w:eastAsia="黑体" w:cs="Arial"/>
                <w:color w:val="222222"/>
                <w:kern w:val="0"/>
                <w:sz w:val="24"/>
                <w:szCs w:val="24"/>
              </w:rPr>
            </w:pPr>
            <w:r>
              <w:rPr>
                <w:rFonts w:hint="eastAsia" w:ascii="黑体" w:hAnsi="黑体" w:eastAsia="黑体" w:cs="Arial"/>
                <w:color w:val="222222"/>
                <w:kern w:val="0"/>
                <w:sz w:val="24"/>
                <w:szCs w:val="24"/>
              </w:rPr>
              <w:t>课题编号</w:t>
            </w:r>
          </w:p>
        </w:tc>
        <w:tc>
          <w:tcPr>
            <w:tcW w:w="2210" w:type="pct"/>
            <w:shd w:val="clear" w:color="000000" w:fill="FFFFFF"/>
            <w:noWrap/>
            <w:vAlign w:val="center"/>
          </w:tcPr>
          <w:p>
            <w:pPr>
              <w:widowControl/>
              <w:jc w:val="center"/>
              <w:rPr>
                <w:rFonts w:ascii="黑体" w:hAnsi="黑体" w:eastAsia="黑体" w:cs="Arial"/>
                <w:color w:val="222222"/>
                <w:kern w:val="0"/>
                <w:sz w:val="24"/>
                <w:szCs w:val="24"/>
              </w:rPr>
            </w:pPr>
            <w:r>
              <w:rPr>
                <w:rFonts w:hint="eastAsia" w:ascii="黑体" w:hAnsi="黑体" w:eastAsia="黑体" w:cs="Arial"/>
                <w:color w:val="222222"/>
                <w:kern w:val="0"/>
                <w:sz w:val="24"/>
                <w:szCs w:val="24"/>
              </w:rPr>
              <w:t>课题名称</w:t>
            </w:r>
          </w:p>
        </w:tc>
        <w:tc>
          <w:tcPr>
            <w:tcW w:w="501" w:type="pct"/>
            <w:shd w:val="clear" w:color="000000" w:fill="FFFFFF"/>
            <w:noWrap/>
            <w:vAlign w:val="center"/>
          </w:tcPr>
          <w:p>
            <w:pPr>
              <w:widowControl/>
              <w:jc w:val="center"/>
              <w:rPr>
                <w:rFonts w:ascii="黑体" w:hAnsi="黑体" w:eastAsia="黑体" w:cs="宋体"/>
                <w:color w:val="222222"/>
                <w:kern w:val="0"/>
                <w:sz w:val="24"/>
                <w:szCs w:val="24"/>
              </w:rPr>
            </w:pPr>
            <w:r>
              <w:rPr>
                <w:rFonts w:hint="eastAsia" w:ascii="黑体" w:hAnsi="黑体" w:eastAsia="黑体" w:cs="宋体"/>
                <w:color w:val="222222"/>
                <w:kern w:val="0"/>
                <w:sz w:val="24"/>
                <w:szCs w:val="24"/>
              </w:rPr>
              <w:t>课题负责人</w:t>
            </w:r>
          </w:p>
        </w:tc>
        <w:tc>
          <w:tcPr>
            <w:tcW w:w="949" w:type="pct"/>
            <w:shd w:val="clear" w:color="000000" w:fill="FFFFFF"/>
            <w:noWrap/>
            <w:vAlign w:val="center"/>
          </w:tcPr>
          <w:p>
            <w:pPr>
              <w:widowControl/>
              <w:jc w:val="center"/>
              <w:rPr>
                <w:rFonts w:ascii="黑体" w:hAnsi="黑体" w:eastAsia="黑体" w:cs="宋体"/>
                <w:color w:val="222222"/>
                <w:kern w:val="0"/>
                <w:sz w:val="24"/>
                <w:szCs w:val="24"/>
              </w:rPr>
            </w:pPr>
            <w:r>
              <w:rPr>
                <w:rFonts w:hint="eastAsia" w:ascii="黑体" w:hAnsi="黑体" w:eastAsia="黑体" w:cs="宋体"/>
                <w:color w:val="222222"/>
                <w:kern w:val="0"/>
                <w:sz w:val="24"/>
                <w:szCs w:val="24"/>
              </w:rPr>
              <w:t>工作单位</w:t>
            </w:r>
          </w:p>
        </w:tc>
        <w:tc>
          <w:tcPr>
            <w:tcW w:w="450" w:type="pct"/>
            <w:shd w:val="clear" w:color="000000" w:fill="FFFFFF"/>
            <w:vAlign w:val="center"/>
          </w:tcPr>
          <w:p>
            <w:pPr>
              <w:widowControl/>
              <w:jc w:val="center"/>
              <w:rPr>
                <w:rFonts w:hint="eastAsia" w:ascii="黑体" w:hAnsi="黑体" w:eastAsia="黑体" w:cs="宋体"/>
                <w:color w:val="222222"/>
                <w:kern w:val="0"/>
                <w:sz w:val="24"/>
                <w:szCs w:val="24"/>
              </w:rPr>
            </w:pPr>
            <w:r>
              <w:rPr>
                <w:rFonts w:hint="eastAsia" w:ascii="黑体" w:hAnsi="黑体" w:eastAsia="黑体" w:cs="宋体"/>
                <w:color w:val="222222"/>
                <w:kern w:val="0"/>
                <w:sz w:val="24"/>
                <w:szCs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HQXH2021-001</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以宿舍文化为载体的高校育人体系建设实践与探索</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朱景星</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山东科技大学</w:t>
            </w:r>
          </w:p>
        </w:tc>
        <w:tc>
          <w:tcPr>
            <w:tcW w:w="450" w:type="pct"/>
            <w:vMerge w:val="restart"/>
            <w:shd w:val="clear" w:color="000000" w:fill="FFFFFF"/>
            <w:vAlign w:val="center"/>
          </w:tcPr>
          <w:p>
            <w:pPr>
              <w:widowControl/>
              <w:jc w:val="center"/>
              <w:rPr>
                <w:rFonts w:hint="eastAsia"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一般课题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HQXH2021-002</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工匠精神培育视角下高职院校学生公寓文化建设提升路径研究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陈  超</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青岛酒店管理职业技术学院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HQXH2021-003</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新时代公寓心理健康教育工作模式探索与实践研究—以济南大学为例</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史国普</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济南大学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4</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HQXH2021-004</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高校学生公寓 “五化” 安全管理体系研究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胡春雷</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济南大学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5</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HQXH2021-005</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“五位一体”高校公寓育人工作体系 研究与实践——基于山东省三十所高校调查</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谢近磊</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山东华宇工学院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6</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HQXH2021-006</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高校公寓心理辅导站“5+2”育人模式 研究与实践</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张立峰</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山东华宇工学院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7</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HQXH2021-007</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“三全育人”视域下高校学生公寓 心理健康教育工作困境及对策研究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任培培</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山东华宇工学院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8</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HQXH2021-008</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基于学校心理辅导视角下构建高校和谐宿舍人际关系体系的研究宿舍人际关系体系的研究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刘占凯</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山东华宇工学院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9</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HQXH2021-009</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基于马斯洛需求理论，公寓文化育人供给侧改革模式探索研究——以德州市三所高校为例</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叶  洋</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山东华宇工学院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10</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HQXH2021-010</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高职院校思政教育融入公寓文化建设的路径探索</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李  英</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济宁职业技术学院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11</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HQXH2021-011</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高校服务育人在公寓工作中的实现路径 研究与实践—以泰山学院实施新时代德育系统工程</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任庆芳</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泰山学院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12</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HQXH2021-012</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新时代高校公寓文化育人创新实践研究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原  峰</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泰山学院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13</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HQXH2021-013</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基于物业管理视阈下高校宿舍维修服务质量工作的提升研究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毛新凯</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山东工业职业学院</w:t>
            </w:r>
          </w:p>
        </w:tc>
        <w:tc>
          <w:tcPr>
            <w:tcW w:w="450" w:type="pct"/>
            <w:vMerge w:val="restart"/>
            <w:shd w:val="clear" w:color="000000" w:fill="FFFFFF"/>
            <w:vAlign w:val="center"/>
          </w:tcPr>
          <w:p>
            <w:pPr>
              <w:widowControl/>
              <w:jc w:val="center"/>
              <w:rPr>
                <w:rFonts w:hint="eastAsia"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一般课题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14</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HQXH2021-014</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“三全育人”视角下高校后勤学生公寓“第二课堂”的实践与探索</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李鲁红</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烟台大学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15</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HQXH2021-015</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“三全育人”视域下高职院校公寓文化育人的实证研究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李  杰</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山东药品食品职业学院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16</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HQXH2021-016</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高校公寓文化建设与学生劳动教育融合路径研究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张媛媛</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山东药品食品职业学院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17</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HQXH2021-017</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社会化改革典型案例研究 ——以哈尔滨工业大学（威海）学生公寓为例</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汪  明</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哈尔滨工业大学（威海）</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18</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HQXH2021-018</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三自教育视阈下地方高校学生公寓安全服务与管理路径创新研究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金波昌</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潍坊学院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19</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HQXH2021-019</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“五育融合”视角下学生公寓服务与管理模式创新研究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于利俊</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青岛理工大学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20</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HQXH2021-020</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探索“三心工程”模式，提升公寓阵地思想政治教育实效性</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吴  静</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青岛理工大学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21</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HQXH2021-021</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新媒体视阈下高校公寓管理 监督检查反馈平台研究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周广生</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青岛理工大学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22</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HQXH2021-022</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新时代高校专业分流背景下的公寓管理对策研究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张冯冯</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青岛理工大学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23</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HQXH2021-023</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疫情防控常态化背景下高校学生公寓 三全育人体系的探索与构建</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王  超</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青岛理工大学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24</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HQXH2021-024</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PPRR模型视域下高校传染性突发公共卫生 事件公寓网格化管理应对模式研究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张心怡</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青岛理工大学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25</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HQXH2021-025</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高校学生公寓社区化治理模式探究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杨洪敏</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青岛理工大学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26</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HQXH2021-026</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高校学生公寓社区化管理模式探究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王云霞</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青岛理工大学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27</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HQXH2021-027</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高校学生组织扁平化与公寓管理育人机制研究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王  政</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山东建筑大学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28</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HQXH2021-028</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高校智慧公寓管理服务系统创新和实践研究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韩学斌</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济宁学院</w:t>
            </w:r>
          </w:p>
        </w:tc>
        <w:tc>
          <w:tcPr>
            <w:tcW w:w="450" w:type="pct"/>
            <w:vMerge w:val="restart"/>
            <w:shd w:val="clear" w:color="000000" w:fill="FFFFFF"/>
            <w:vAlign w:val="center"/>
          </w:tcPr>
          <w:p>
            <w:pPr>
              <w:widowControl/>
              <w:jc w:val="center"/>
              <w:rPr>
                <w:rFonts w:hint="eastAsia"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一般课题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29</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HQXH2021-029</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高职高专类院校大学生公寓管理工作研究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李晓飞</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济南护理职业学院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30</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HQXH2021-030</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新时代高校公寓文化建设的路径与效果研究-以青岛理工大学学生公寓文化建设为例</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杨  宁</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青岛理工大学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31</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HQXH2021-031</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高校公寓文化建设中党建引领功能与实现路径探析——以驻青高校为例</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申维东</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青岛理工大学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32</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HQXH2021-032</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基于物联网技术的校园路灯智慧节电方式研究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曾现伟</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鲁东大学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33</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HQXH2021-033</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数字化时代高等学校节能减排对策研究 --以山东农业大学能耗管理平台为例</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吕宗迎</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山东农业大学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34</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HQXH2021-034</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推广水源热泵采暖与制冷技术实现高效节能减排</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王林涛</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山东交通职业学院泰山校区</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35</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HQXH2021-035</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高校节能减排存在的问题与对策研究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胡金宇</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山东理工大学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36</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HQXH2021-036</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高校绿色校园创建问题及对策研究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李育州</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曲阜师范大学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37</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HQXH2021-037</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高校节能减排与绿色校园建设成效、存在问题及对策研究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王俊杰</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山东信息职业技术学院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38</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HQXH2021-038</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高校节能减排与绿色学校建设成效、存在问题及对策研究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李  浩</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烟台工程职业技术学院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39</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HQXH2021-039</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高校节能减排存在问题及对策研究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邴  磊</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山东交通职业学院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40</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HQXH2021-040</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泰安市高等院校低碳校园建设现状与创新发展路径研究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闫冬冬</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泰山学院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41</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HQXH2021-041</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高校网点管理策略探讨</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李永贵</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中国海洋大学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42</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HQXH2021-042</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新时期高校物流新业态的创新思路</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毕  磊</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山东农业大学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43</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HQXH2021-043</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校园商贸育人机制研究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于  琳</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鲁东大学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44</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HQXH2021-044</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Z高校食堂服务满意度调查与提升</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毕于伟</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中国石油大学胜利学院</w:t>
            </w:r>
          </w:p>
        </w:tc>
        <w:tc>
          <w:tcPr>
            <w:tcW w:w="450" w:type="pct"/>
            <w:vMerge w:val="restart"/>
            <w:shd w:val="clear" w:color="000000" w:fill="FFFFFF"/>
            <w:vAlign w:val="center"/>
          </w:tcPr>
          <w:p>
            <w:pPr>
              <w:widowControl/>
              <w:jc w:val="center"/>
              <w:rPr>
                <w:rFonts w:hint="eastAsia"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一般课题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45</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HQXH2021-045</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民办高校食堂经营管理服务存在问题及对策研究——以QD学院为例</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杨  健</w:t>
            </w:r>
          </w:p>
        </w:tc>
        <w:tc>
          <w:tcPr>
            <w:tcW w:w="949" w:type="pct"/>
            <w:shd w:val="clear" w:color="000000" w:fill="FFFFFF"/>
            <w:noWrap/>
            <w:vAlign w:val="center"/>
          </w:tcPr>
          <w:p>
            <w:pPr>
              <w:widowControl/>
              <w:jc w:val="center"/>
              <w:rPr>
                <w:rFonts w:ascii="仿宋_GB2312" w:hAnsi="Arial" w:eastAsia="仿宋_GB2312" w:cs="Arial"/>
                <w:color w:val="222222"/>
                <w:kern w:val="0"/>
                <w:sz w:val="24"/>
                <w:szCs w:val="24"/>
              </w:rPr>
            </w:pPr>
            <w:r>
              <w:rPr>
                <w:rFonts w:hint="eastAsia" w:ascii="仿宋_GB2312" w:hAnsi="仿宋" w:eastAsia="仿宋_GB2312" w:cs="Arial"/>
                <w:color w:val="222222"/>
                <w:kern w:val="0"/>
                <w:sz w:val="24"/>
                <w:szCs w:val="24"/>
              </w:rPr>
              <w:t>青岛黄海学院</w:t>
            </w:r>
          </w:p>
        </w:tc>
        <w:tc>
          <w:tcPr>
            <w:tcW w:w="450" w:type="pct"/>
            <w:vMerge w:val="continue"/>
            <w:shd w:val="clear" w:color="000000" w:fill="FFFFFF"/>
            <w:vAlign w:val="center"/>
          </w:tcPr>
          <w:p>
            <w:pPr>
              <w:widowControl/>
              <w:jc w:val="center"/>
              <w:rPr>
                <w:rFonts w:hint="eastAsia" w:ascii="仿宋_GB2312" w:hAnsi="仿宋" w:eastAsia="仿宋_GB2312" w:cs="Arial"/>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46</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HQXH2021-046</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后勤饮食管理服务体制机制综合改革探究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高兴民</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齐鲁工业大学（山东省科学院）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47</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HQXH2021-047</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基于高校智慧餐厅信息化建设、实施学生健康与健康膳食探究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陶  伟</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淄博师范高等专科学校</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48</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HQXH2021-048</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高等学校学生食堂管理、经营、服务中存在问题与对策研究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王玉林</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济宁职业技术学院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49</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HQXH2021-049</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日照高校食堂生鲜食品安全现状调查 和发展建议</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丁国玉</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日照职业技术学院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50</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HQXH2021-050</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健康中国战略下高校大学生健康生活方式与行为素养分析探究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王  晶</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山东科技大学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51</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HQXH2021-051</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学校食堂经营、管理、服务中存在问题与对策研究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王小虎</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淄博市教育服务中心</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52</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HQXH2021-052</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全省高校食堂联采联购可行性研究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刘学祥</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协会秘书处</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53</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HQXH2021-053</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高校园林景观规划建设发展适应性研究—以山东药品食品职业学院为例</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徐  明</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山东药品食品职业学院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54</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HQXH2021-054</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高校绿色校园更新发展策略体系研究——以山东省高校为例</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魏大生</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烟台职业学院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55</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HQXH2021-055</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高校物业管理标准化建设实践探索的研究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杨庆贺</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山东农业大学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56</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HQXH2021-056</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高校物业管理标准化建设实践探索的研究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赵本立</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济宁职业技术学院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57</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HQXH2021-057</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高校物业标准化建设实践探索的研究 .</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毕红军</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山东交通职业学院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58</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HQXH2021-058</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高校物业管理标准化建设实践探索的研究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路  永</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青岛酒店管理职业技术学院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59</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HQXH2021-059</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新时代高校校医院提高学生健康素质的路径探析——以驻泰高校为例</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石义庆</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山东农业大学后勤处校医院</w:t>
            </w:r>
          </w:p>
        </w:tc>
        <w:tc>
          <w:tcPr>
            <w:tcW w:w="450" w:type="pct"/>
            <w:vMerge w:val="restart"/>
            <w:shd w:val="clear" w:color="000000" w:fill="FFFFFF"/>
            <w:vAlign w:val="center"/>
          </w:tcPr>
          <w:p>
            <w:pPr>
              <w:widowControl/>
              <w:jc w:val="center"/>
              <w:rPr>
                <w:rFonts w:hint="eastAsia"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一般课题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60</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HQXH2021-060</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高校后勤应急保障存在的问题及对策研究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丁德平</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济南大学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61</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HQXH2021-061</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高校后勤社会化改革典型案例研究——以淄博职业学院为例</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田立忠</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淄博职业学院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62</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HQXH2021-062</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高校后勤管理社会化改革典型案例研究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刘云飞</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山东石油化工学院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63</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HQXH2021-063</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高校后勤管理社会化改革典型案例研究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程世超</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济南职业学院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64</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HQXH2021-064</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构建“十四五”时期高校高质量后勤服务保障体系的研究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侯典忠</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菏泽职业学院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65</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HQXH2021-065</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构建教育现代化发展需求的高质量后勤服务保障体系</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张瑞军</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临沂职业学院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66</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HQXH2021-066</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构建我省高校新型后勤运行保障体系的思考</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张永宝</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山东理工大学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67</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HQXH2021-067</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山东高校后勤建设中劳动教育创新与实践对策研究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麻耀华</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山东华宇工学院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68</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HQXH2021-068</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大后勤视角下高校“思政+劳动”教育实施路径探究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刘广栋</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山东工艺美术学院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69</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HQXH2021-069</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“三全育人”视域下高职院校后勤服务育人功能与策略研究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岳秋丽</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山东轻工职业学院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70</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HQXH2021-070</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大学后勤文化建设的路径与效果研究——以山东科技大学为例</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张建英</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山东科技大学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71</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HQXH2021-071</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高校后勤文化建设的路径和效果研究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王晶晶</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青岛大学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72</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HQXH2021-072</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山东省民办高校后勤文化建设的路径与效果研究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李光武</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山东华宇工学院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73</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HQXH2021-073</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疫情背景下高校后勤文化建设工作探索</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麻玉安</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山东农业大学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74</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HQXH2021-074</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校企合作推动后勤文化建设的路径与效果研究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王士卿</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青岛科技大学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75</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HQXH2021-075</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高校后勤保障领域校企合作中存在的问题和对策的研究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袁广龙</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哈尔滨工业大学（威海）</w:t>
            </w:r>
          </w:p>
        </w:tc>
        <w:tc>
          <w:tcPr>
            <w:tcW w:w="450" w:type="pct"/>
            <w:vMerge w:val="restart"/>
            <w:shd w:val="clear" w:color="000000" w:fill="FFFFFF"/>
            <w:vAlign w:val="center"/>
          </w:tcPr>
          <w:p>
            <w:pPr>
              <w:widowControl/>
              <w:jc w:val="center"/>
              <w:rPr>
                <w:rFonts w:hint="eastAsia"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一般课题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76</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HQXH2021-076</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高校后勤保障领域校企合作中存在的问题与对策研究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孙  超</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青岛大学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77</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HQXH2021-077</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小班幼儿养成教育实践研究——以山东农业大学幼儿园为例</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王  晶</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山东农业大学幼儿园</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78</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HQXH2021-078</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供给侧改革背景下高校智慧后勤建设研究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郝  伟</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济南大学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79</w:t>
            </w:r>
          </w:p>
        </w:tc>
        <w:tc>
          <w:tcPr>
            <w:tcW w:w="588" w:type="pct"/>
            <w:shd w:val="clear" w:color="000000" w:fill="FFFFFF"/>
            <w:vAlign w:val="center"/>
          </w:tcPr>
          <w:p>
            <w:pPr>
              <w:widowControl/>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HQXH2021-079</w:t>
            </w:r>
          </w:p>
        </w:tc>
        <w:tc>
          <w:tcPr>
            <w:tcW w:w="2210" w:type="pct"/>
            <w:shd w:val="clear" w:color="000000" w:fill="FFFFFF"/>
            <w:noWrap/>
            <w:vAlign w:val="center"/>
          </w:tcPr>
          <w:p>
            <w:pPr>
              <w:widowControl/>
              <w:rPr>
                <w:rFonts w:ascii="仿宋_GB2312" w:hAnsi="Arial" w:eastAsia="仿宋_GB2312" w:cs="Arial"/>
                <w:color w:val="222222"/>
                <w:kern w:val="0"/>
                <w:sz w:val="24"/>
                <w:szCs w:val="24"/>
              </w:rPr>
            </w:pPr>
            <w:r>
              <w:rPr>
                <w:rFonts w:hint="eastAsia" w:ascii="仿宋_GB2312" w:hAnsi="仿宋" w:eastAsia="仿宋_GB2312" w:cs="Arial"/>
                <w:color w:val="222222"/>
                <w:kern w:val="0"/>
                <w:sz w:val="24"/>
                <w:szCs w:val="24"/>
              </w:rPr>
              <w:t>新时代高职院校平安公寓建设标准体系实证研究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孙亚林</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山东城市建设职业学院</w:t>
            </w:r>
          </w:p>
        </w:tc>
        <w:tc>
          <w:tcPr>
            <w:tcW w:w="450" w:type="pct"/>
            <w:vMerge w:val="restart"/>
            <w:shd w:val="clear" w:color="000000" w:fill="FFFFFF"/>
            <w:vAlign w:val="center"/>
          </w:tcPr>
          <w:p>
            <w:pPr>
              <w:widowControl/>
              <w:jc w:val="center"/>
              <w:rPr>
                <w:rFonts w:hint="eastAsia"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重点课题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80</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HQXH2021-080</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公寓管理视域下构建“互联网+”学生心理危机动态预防干预系统的研究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刘晓娟</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济南大学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81</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HQXH2021-081</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当前高校学生公寓开展思想政治教育工作途径研究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池厚新</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聊城大学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82</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HQXH2021-082</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传统文化在公寓育人建设实践中的研究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韩  群</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青岛理工大学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83</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HQXH2021-083</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学生公寓垃圾分类现状及分析</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宋俊宾</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东营职业学院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84</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HQXH2021-084</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“党建+社区”管理新模式探究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孙卫东</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齐鲁工业大学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85</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HQXH2021-085</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高校后勤劳动育人工作探究与实践</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崔越峰</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中国海洋大学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86</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HQXH2021-086</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高校物业标准化建设实践探索研究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孙印厚</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青岛大学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87</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HQXH2021-087</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关于新时代高校后勤文化建设的路径研究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韩汝军</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山东科技大学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88</w:t>
            </w:r>
          </w:p>
        </w:tc>
        <w:tc>
          <w:tcPr>
            <w:tcW w:w="588" w:type="pct"/>
            <w:shd w:val="clear" w:color="000000" w:fill="FFFFFF"/>
            <w:vAlign w:val="center"/>
          </w:tcPr>
          <w:p>
            <w:pPr>
              <w:widowControl/>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HQXH2021-088</w:t>
            </w:r>
          </w:p>
        </w:tc>
        <w:tc>
          <w:tcPr>
            <w:tcW w:w="2210" w:type="pct"/>
            <w:shd w:val="clear" w:color="000000" w:fill="FFFFFF"/>
            <w:noWrap/>
            <w:vAlign w:val="center"/>
          </w:tcPr>
          <w:p>
            <w:pPr>
              <w:widowControl/>
              <w:rPr>
                <w:rFonts w:ascii="仿宋_GB2312" w:hAnsi="Arial" w:eastAsia="仿宋_GB2312" w:cs="Arial"/>
                <w:color w:val="222222"/>
                <w:kern w:val="0"/>
                <w:sz w:val="24"/>
                <w:szCs w:val="24"/>
              </w:rPr>
            </w:pPr>
            <w:r>
              <w:rPr>
                <w:rFonts w:hint="eastAsia" w:ascii="仿宋_GB2312" w:hAnsi="仿宋" w:eastAsia="仿宋_GB2312" w:cs="Arial"/>
                <w:color w:val="222222"/>
                <w:kern w:val="0"/>
                <w:sz w:val="24"/>
                <w:szCs w:val="24"/>
              </w:rPr>
              <w:t>学生需求视角下高校食堂经营管理调研实证研究——基于山东省8所高校的调查</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张亚萍</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潍坊学院</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89</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HQXH2021-089</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高校食堂在管理及服务中存在的问题及对策探讨</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迟春霞</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哈尔滨工业大学（威海）</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90</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HQXH2021-090</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学生公寓节水管网设计与大数据节能方法研究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刘  华</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鲁东大学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91</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HQXH2021-091</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高校绿色学校建设对策研究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蔡  文</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山东理工大学</w:t>
            </w:r>
          </w:p>
        </w:tc>
        <w:tc>
          <w:tcPr>
            <w:tcW w:w="450" w:type="pct"/>
            <w:vMerge w:val="restart"/>
            <w:shd w:val="clear" w:color="000000" w:fill="FFFFFF"/>
            <w:vAlign w:val="center"/>
          </w:tcPr>
          <w:p>
            <w:pPr>
              <w:widowControl/>
              <w:jc w:val="center"/>
              <w:rPr>
                <w:rFonts w:hint="eastAsia"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重点课题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92</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HQXH2021-092</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高校修缮工程全过程咨询服务模式机制探究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宋计勇</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山东农业大学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93</w:t>
            </w:r>
          </w:p>
        </w:tc>
        <w:tc>
          <w:tcPr>
            <w:tcW w:w="588" w:type="pct"/>
            <w:shd w:val="clear" w:color="000000" w:fill="FFFFFF"/>
            <w:vAlign w:val="center"/>
          </w:tcPr>
          <w:p>
            <w:pPr>
              <w:widowControl/>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HQXH2021-093</w:t>
            </w:r>
          </w:p>
        </w:tc>
        <w:tc>
          <w:tcPr>
            <w:tcW w:w="2210" w:type="pct"/>
            <w:shd w:val="clear" w:color="000000" w:fill="FFFFFF"/>
            <w:noWrap/>
            <w:vAlign w:val="center"/>
          </w:tcPr>
          <w:p>
            <w:pPr>
              <w:widowControl/>
              <w:rPr>
                <w:rFonts w:ascii="仿宋_GB2312" w:hAnsi="Arial" w:eastAsia="仿宋_GB2312" w:cs="Arial"/>
                <w:color w:val="222222"/>
                <w:kern w:val="0"/>
                <w:sz w:val="24"/>
                <w:szCs w:val="24"/>
              </w:rPr>
            </w:pPr>
            <w:r>
              <w:rPr>
                <w:rFonts w:hint="eastAsia" w:ascii="仿宋_GB2312" w:hAnsi="仿宋" w:eastAsia="仿宋_GB2312" w:cs="Arial"/>
                <w:color w:val="222222"/>
                <w:kern w:val="0"/>
                <w:sz w:val="24"/>
                <w:szCs w:val="24"/>
              </w:rPr>
              <w:t>构建教育现代化发展需求的高质量后勤服务保障体系的研究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赵国亮</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哈尔滨工业大学（威海）</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94</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HQXH2021-094</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高校后勤服务外包监管与风险防范体系研究</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张  征</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鲁东大学</w:t>
            </w:r>
          </w:p>
        </w:tc>
        <w:tc>
          <w:tcPr>
            <w:tcW w:w="450" w:type="pct"/>
            <w:vMerge w:val="continue"/>
            <w:shd w:val="clear" w:color="000000" w:fill="FFFFFF"/>
            <w:vAlign w:val="center"/>
          </w:tcPr>
          <w:p>
            <w:pPr>
              <w:widowControl/>
              <w:jc w:val="center"/>
              <w:rPr>
                <w:rFonts w:hint="eastAsia" w:ascii="仿宋_GB2312" w:hAnsi="仿宋"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95</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HQXH2021-095</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新时代学校后勤改革探索与实践概论</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刘学祥</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协会秘书处</w:t>
            </w:r>
          </w:p>
        </w:tc>
        <w:tc>
          <w:tcPr>
            <w:tcW w:w="450" w:type="pct"/>
            <w:shd w:val="clear" w:color="000000" w:fill="FFFFFF"/>
            <w:vAlign w:val="center"/>
          </w:tcPr>
          <w:p>
            <w:pPr>
              <w:widowControl/>
              <w:jc w:val="center"/>
              <w:rPr>
                <w:rFonts w:hint="eastAsia"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专项课题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02" w:type="pct"/>
            <w:shd w:val="clear" w:color="000000" w:fill="FFFFFF"/>
            <w:noWrap/>
            <w:vAlign w:val="center"/>
          </w:tcPr>
          <w:p>
            <w:pPr>
              <w:widowControl/>
              <w:jc w:val="center"/>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96</w:t>
            </w:r>
          </w:p>
        </w:tc>
        <w:tc>
          <w:tcPr>
            <w:tcW w:w="588" w:type="pct"/>
            <w:shd w:val="clear" w:color="000000" w:fill="FFFFFF"/>
            <w:vAlign w:val="center"/>
          </w:tcPr>
          <w:p>
            <w:pPr>
              <w:widowControl/>
              <w:jc w:val="center"/>
              <w:rPr>
                <w:rFonts w:ascii="仿宋_GB2312" w:hAnsi="仿宋" w:eastAsia="仿宋_GB2312" w:cs="宋体"/>
                <w:color w:val="222222"/>
                <w:kern w:val="0"/>
                <w:sz w:val="24"/>
                <w:szCs w:val="24"/>
              </w:rPr>
            </w:pPr>
            <w:r>
              <w:rPr>
                <w:rFonts w:hint="eastAsia" w:ascii="仿宋_GB2312" w:hAnsi="Arial" w:eastAsia="仿宋_GB2312" w:cs="Arial"/>
                <w:color w:val="222222"/>
                <w:kern w:val="0"/>
                <w:sz w:val="24"/>
                <w:szCs w:val="24"/>
              </w:rPr>
              <w:t>HQXH2021-096</w:t>
            </w:r>
          </w:p>
        </w:tc>
        <w:tc>
          <w:tcPr>
            <w:tcW w:w="2210" w:type="pct"/>
            <w:shd w:val="clear" w:color="000000" w:fill="FFFFFF"/>
            <w:noWrap/>
            <w:vAlign w:val="center"/>
          </w:tcPr>
          <w:p>
            <w:pPr>
              <w:widowControl/>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高校新零售企业基于时空价值主张的商业模式创新</w:t>
            </w:r>
          </w:p>
        </w:tc>
        <w:tc>
          <w:tcPr>
            <w:tcW w:w="501"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王汉领</w:t>
            </w:r>
          </w:p>
        </w:tc>
        <w:tc>
          <w:tcPr>
            <w:tcW w:w="949" w:type="pct"/>
            <w:shd w:val="clear" w:color="000000" w:fill="FFFFFF"/>
            <w:noWrap/>
            <w:vAlign w:val="center"/>
          </w:tcPr>
          <w:p>
            <w:pPr>
              <w:widowControl/>
              <w:jc w:val="center"/>
              <w:rPr>
                <w:rFonts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山东纳博士经贸有限公司</w:t>
            </w:r>
          </w:p>
        </w:tc>
        <w:tc>
          <w:tcPr>
            <w:tcW w:w="450" w:type="pct"/>
            <w:shd w:val="clear" w:color="000000" w:fill="FFFFFF"/>
            <w:vAlign w:val="center"/>
          </w:tcPr>
          <w:p>
            <w:pPr>
              <w:widowControl/>
              <w:jc w:val="center"/>
              <w:rPr>
                <w:rFonts w:hint="eastAsia" w:ascii="仿宋_GB2312" w:hAnsi="仿宋" w:eastAsia="仿宋_GB2312" w:cs="宋体"/>
                <w:color w:val="222222"/>
                <w:kern w:val="0"/>
                <w:sz w:val="24"/>
                <w:szCs w:val="24"/>
              </w:rPr>
            </w:pPr>
            <w:r>
              <w:rPr>
                <w:rFonts w:hint="eastAsia" w:ascii="仿宋_GB2312" w:hAnsi="仿宋" w:eastAsia="仿宋_GB2312" w:cs="宋体"/>
                <w:color w:val="222222"/>
                <w:kern w:val="0"/>
                <w:sz w:val="24"/>
                <w:szCs w:val="24"/>
              </w:rPr>
              <w:t>专项课题</w:t>
            </w:r>
          </w:p>
        </w:tc>
      </w:tr>
    </w:tbl>
    <w:p>
      <w:pPr>
        <w:spacing w:line="580" w:lineRule="exact"/>
        <w:rPr>
          <w:rFonts w:ascii="仿宋_GB2312" w:hAnsi="楷体" w:eastAsia="仿宋_GB2312"/>
          <w:sz w:val="32"/>
          <w:szCs w:val="32"/>
        </w:rPr>
      </w:pPr>
    </w:p>
    <w:sectPr>
      <w:pgSz w:w="16838" w:h="11906" w:orient="landscape"/>
      <w:pgMar w:top="1276" w:right="1701" w:bottom="1135" w:left="181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F9"/>
    <w:rsid w:val="00015F57"/>
    <w:rsid w:val="000175C1"/>
    <w:rsid w:val="00034FF9"/>
    <w:rsid w:val="00050540"/>
    <w:rsid w:val="0005715B"/>
    <w:rsid w:val="00057740"/>
    <w:rsid w:val="00086B63"/>
    <w:rsid w:val="000A78F0"/>
    <w:rsid w:val="000B7A94"/>
    <w:rsid w:val="000C52A2"/>
    <w:rsid w:val="00125156"/>
    <w:rsid w:val="00152047"/>
    <w:rsid w:val="00180A18"/>
    <w:rsid w:val="001C3470"/>
    <w:rsid w:val="00217AF9"/>
    <w:rsid w:val="0022090E"/>
    <w:rsid w:val="00275D67"/>
    <w:rsid w:val="002826A7"/>
    <w:rsid w:val="002A569C"/>
    <w:rsid w:val="0036042B"/>
    <w:rsid w:val="00367939"/>
    <w:rsid w:val="00372279"/>
    <w:rsid w:val="00374E84"/>
    <w:rsid w:val="00375D22"/>
    <w:rsid w:val="003F07C4"/>
    <w:rsid w:val="00424429"/>
    <w:rsid w:val="00476662"/>
    <w:rsid w:val="004E2F16"/>
    <w:rsid w:val="004F7973"/>
    <w:rsid w:val="00520C91"/>
    <w:rsid w:val="005226FD"/>
    <w:rsid w:val="00522965"/>
    <w:rsid w:val="0055672F"/>
    <w:rsid w:val="00565163"/>
    <w:rsid w:val="005E7CF4"/>
    <w:rsid w:val="006102FA"/>
    <w:rsid w:val="00615F7F"/>
    <w:rsid w:val="00636381"/>
    <w:rsid w:val="00656883"/>
    <w:rsid w:val="00680F68"/>
    <w:rsid w:val="00726D45"/>
    <w:rsid w:val="00750713"/>
    <w:rsid w:val="007D4099"/>
    <w:rsid w:val="00834D46"/>
    <w:rsid w:val="00847FC2"/>
    <w:rsid w:val="008536ED"/>
    <w:rsid w:val="008543C8"/>
    <w:rsid w:val="00880808"/>
    <w:rsid w:val="0088085C"/>
    <w:rsid w:val="00887156"/>
    <w:rsid w:val="008973D7"/>
    <w:rsid w:val="008B45DD"/>
    <w:rsid w:val="00913959"/>
    <w:rsid w:val="00927F2D"/>
    <w:rsid w:val="00980FB5"/>
    <w:rsid w:val="00983844"/>
    <w:rsid w:val="00986BC7"/>
    <w:rsid w:val="009A630F"/>
    <w:rsid w:val="009B4FEF"/>
    <w:rsid w:val="009B63C4"/>
    <w:rsid w:val="009D65A1"/>
    <w:rsid w:val="009E1BDD"/>
    <w:rsid w:val="009F7365"/>
    <w:rsid w:val="00A6322B"/>
    <w:rsid w:val="00AD5E63"/>
    <w:rsid w:val="00AF1565"/>
    <w:rsid w:val="00B15351"/>
    <w:rsid w:val="00B23740"/>
    <w:rsid w:val="00B33F8F"/>
    <w:rsid w:val="00B35F5A"/>
    <w:rsid w:val="00B816F9"/>
    <w:rsid w:val="00B8440F"/>
    <w:rsid w:val="00B85961"/>
    <w:rsid w:val="00BA199E"/>
    <w:rsid w:val="00BD1E07"/>
    <w:rsid w:val="00C05EC9"/>
    <w:rsid w:val="00C12956"/>
    <w:rsid w:val="00C15ACD"/>
    <w:rsid w:val="00C367E5"/>
    <w:rsid w:val="00C52B1D"/>
    <w:rsid w:val="00C73F8E"/>
    <w:rsid w:val="00C91AB7"/>
    <w:rsid w:val="00CD2CC1"/>
    <w:rsid w:val="00D07988"/>
    <w:rsid w:val="00D57F28"/>
    <w:rsid w:val="00E22D0C"/>
    <w:rsid w:val="00E47AA1"/>
    <w:rsid w:val="00E6160D"/>
    <w:rsid w:val="00E71CFE"/>
    <w:rsid w:val="00E85849"/>
    <w:rsid w:val="00EB06CD"/>
    <w:rsid w:val="00EF197D"/>
    <w:rsid w:val="00F3292D"/>
    <w:rsid w:val="00F34242"/>
    <w:rsid w:val="00F60F87"/>
    <w:rsid w:val="00F62200"/>
    <w:rsid w:val="00F86939"/>
    <w:rsid w:val="00FE3D85"/>
    <w:rsid w:val="00FE59F2"/>
    <w:rsid w:val="66152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标题 1 Char"/>
    <w:basedOn w:val="6"/>
    <w:link w:val="2"/>
    <w:uiPriority w:val="0"/>
    <w:rPr>
      <w:rFonts w:ascii="宋体" w:hAnsi="宋体" w:eastAsia="宋体" w:cs="宋体"/>
      <w:b/>
      <w:bCs/>
      <w:kern w:val="36"/>
      <w:sz w:val="48"/>
      <w:szCs w:val="48"/>
    </w:rPr>
  </w:style>
  <w:style w:type="paragraph" w:styleId="9">
    <w:name w:val="List Paragraph"/>
    <w:basedOn w:val="1"/>
    <w:qFormat/>
    <w:uiPriority w:val="34"/>
    <w:pPr>
      <w:ind w:firstLine="420" w:firstLineChars="200"/>
    </w:pPr>
  </w:style>
  <w:style w:type="character" w:customStyle="1" w:styleId="10">
    <w:name w:val="页眉 Char"/>
    <w:basedOn w:val="6"/>
    <w:link w:val="4"/>
    <w:uiPriority w:val="99"/>
    <w:rPr>
      <w:sz w:val="18"/>
      <w:szCs w:val="18"/>
    </w:rPr>
  </w:style>
  <w:style w:type="character" w:customStyle="1" w:styleId="11">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ABE3E2-B51A-478A-8B5B-23201C366D96}">
  <ds:schemaRefs/>
</ds:datastoreItem>
</file>

<file path=docProps/app.xml><?xml version="1.0" encoding="utf-8"?>
<Properties xmlns="http://schemas.openxmlformats.org/officeDocument/2006/extended-properties" xmlns:vt="http://schemas.openxmlformats.org/officeDocument/2006/docPropsVTypes">
  <Template>Normal</Template>
  <Company>山东省学校后勤协会</Company>
  <Pages>8</Pages>
  <Words>838</Words>
  <Characters>4783</Characters>
  <Lines>39</Lines>
  <Paragraphs>11</Paragraphs>
  <TotalTime>260</TotalTime>
  <ScaleCrop>false</ScaleCrop>
  <LinksUpToDate>false</LinksUpToDate>
  <CharactersWithSpaces>5610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2019-09-26T09:12:00Z</dcterms:created>
  <dc:creator>admin</dc:creator>
  <cp:lastModifiedBy>L x d</cp:lastModifiedBy>
  <cp:lastPrinted>2019-12-20T03:12:00Z</cp:lastPrinted>
  <dcterms:modified xsi:type="dcterms:W3CDTF">2021-06-16T08:36:29Z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13C1BD151E9B468BAF41629169F590E1</vt:lpwstr>
  </property>
</Properties>
</file>